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5000" w:type="pct"/>
        <w:jc w:val="center"/>
        <w:tblLayout w:type="autofit"/>
        <w:tblCellMar>
          <w:top w:w="0" w:type="dxa"/>
          <w:left w:w="0" w:type="dxa"/>
          <w:bottom w:w="0" w:type="dxa"/>
          <w:right w:w="0" w:type="dxa"/>
        </w:tblCellMar>
      </w:tblPr>
      <w:tblGrid>
        <w:gridCol w:w="8306"/>
      </w:tblGrid>
      <w:tr w14:paraId="7D5F0B77">
        <w:tblPrEx>
          <w:tblCellMar>
            <w:top w:w="0" w:type="dxa"/>
            <w:left w:w="0" w:type="dxa"/>
            <w:bottom w:w="0" w:type="dxa"/>
            <w:right w:w="0" w:type="dxa"/>
          </w:tblCellMar>
        </w:tblPrEx>
        <w:trPr>
          <w:trHeight w:val="1050" w:hRule="atLeast"/>
          <w:jc w:val="center"/>
        </w:trPr>
        <w:tc>
          <w:tcPr>
            <w:tcW w:w="5000" w:type="pct"/>
            <w:shd w:val="clear" w:color="auto" w:fill="auto"/>
            <w:vAlign w:val="center"/>
          </w:tcPr>
          <w:p w14:paraId="633955BB">
            <w:pPr>
              <w:widowControl/>
              <w:jc w:val="center"/>
              <w:rPr>
                <w:rFonts w:ascii="宋体" w:hAnsi="宋体" w:eastAsia="宋体" w:cs="宋体"/>
                <w:color w:val="444444"/>
                <w:sz w:val="20"/>
                <w:szCs w:val="20"/>
              </w:rPr>
            </w:pPr>
            <w:bookmarkStart w:id="0" w:name="_GoBack"/>
            <w:bookmarkEnd w:id="0"/>
            <w:r>
              <w:rPr>
                <w:rStyle w:val="10"/>
                <w:rFonts w:hint="eastAsia" w:ascii="仿宋" w:hAnsi="仿宋" w:eastAsia="仿宋" w:cs="仿宋"/>
                <w:sz w:val="31"/>
                <w:szCs w:val="31"/>
              </w:rPr>
              <w:t>生态技术与工程学院固定资产管理办法</w:t>
            </w:r>
            <w:r>
              <w:rPr>
                <w:rStyle w:val="10"/>
                <w:rFonts w:hint="eastAsia" w:ascii="仿宋" w:hAnsi="仿宋" w:eastAsia="仿宋" w:cs="仿宋"/>
                <w:sz w:val="24"/>
              </w:rPr>
              <w:t>（试行）</w:t>
            </w:r>
            <w:r>
              <w:rPr>
                <w:rStyle w:val="10"/>
                <w:rFonts w:hint="eastAsia" w:ascii="仿宋" w:hAnsi="仿宋" w:eastAsia="仿宋" w:cs="仿宋"/>
                <w:sz w:val="31"/>
                <w:szCs w:val="31"/>
              </w:rPr>
              <w:t xml:space="preserve"> </w:t>
            </w:r>
          </w:p>
        </w:tc>
      </w:tr>
    </w:tbl>
    <w:p w14:paraId="523EAD0A">
      <w:pPr>
        <w:rPr>
          <w:vanish/>
          <w:sz w:val="24"/>
        </w:rPr>
      </w:pPr>
    </w:p>
    <w:p w14:paraId="30422D1C">
      <w:pPr>
        <w:rPr>
          <w:vanish/>
          <w:sz w:val="24"/>
        </w:rPr>
      </w:pPr>
    </w:p>
    <w:tbl>
      <w:tblPr>
        <w:tblStyle w:val="8"/>
        <w:tblW w:w="5000" w:type="pct"/>
        <w:jc w:val="center"/>
        <w:tblLayout w:type="autofit"/>
        <w:tblCellMar>
          <w:top w:w="0" w:type="dxa"/>
          <w:left w:w="0" w:type="dxa"/>
          <w:bottom w:w="0" w:type="dxa"/>
          <w:right w:w="0" w:type="dxa"/>
        </w:tblCellMar>
      </w:tblPr>
      <w:tblGrid>
        <w:gridCol w:w="8306"/>
      </w:tblGrid>
      <w:tr w14:paraId="59E3D113">
        <w:tblPrEx>
          <w:tblCellMar>
            <w:top w:w="0" w:type="dxa"/>
            <w:left w:w="0" w:type="dxa"/>
            <w:bottom w:w="0" w:type="dxa"/>
            <w:right w:w="0" w:type="dxa"/>
          </w:tblCellMar>
        </w:tblPrEx>
        <w:trPr>
          <w:trHeight w:val="420" w:hRule="atLeast"/>
          <w:jc w:val="center"/>
        </w:trPr>
        <w:tc>
          <w:tcPr>
            <w:tcW w:w="5000" w:type="pct"/>
            <w:shd w:val="clear" w:color="auto" w:fill="auto"/>
            <w:vAlign w:val="center"/>
          </w:tcPr>
          <w:p w14:paraId="10B1FBAD">
            <w:pPr>
              <w:pStyle w:val="6"/>
              <w:widowControl/>
              <w:spacing w:line="555" w:lineRule="atLeast"/>
              <w:jc w:val="center"/>
            </w:pPr>
            <w:r>
              <w:rPr>
                <w:rStyle w:val="10"/>
                <w:rFonts w:ascii="仿宋" w:hAnsi="仿宋" w:eastAsia="仿宋" w:cs="仿宋"/>
                <w:color w:val="444444"/>
                <w:sz w:val="31"/>
                <w:szCs w:val="31"/>
              </w:rPr>
              <w:t>第一章</w:t>
            </w:r>
            <w:r>
              <w:rPr>
                <w:rStyle w:val="10"/>
                <w:rFonts w:hint="eastAsia" w:ascii="仿宋" w:hAnsi="仿宋" w:eastAsia="仿宋" w:cs="仿宋"/>
                <w:color w:val="444444"/>
                <w:sz w:val="31"/>
                <w:szCs w:val="31"/>
              </w:rPr>
              <w:t>总则</w:t>
            </w:r>
          </w:p>
          <w:p w14:paraId="53EC0A41">
            <w:pPr>
              <w:pStyle w:val="6"/>
              <w:widowControl/>
              <w:spacing w:line="440" w:lineRule="exact"/>
              <w:ind w:firstLine="645"/>
            </w:pPr>
            <w:r>
              <w:rPr>
                <w:rFonts w:hint="eastAsia" w:ascii="仿宋" w:hAnsi="仿宋" w:eastAsia="仿宋" w:cs="仿宋"/>
                <w:color w:val="444444"/>
              </w:rPr>
              <w:t>第一条  为规范和加强学院国有资产管理，维护国有资产的安全和完整，合理配置和有效利用国有资产，保障和促进学院各项事业发展，根据《事业单位国有资产管理暂行办法》（财政部令第36号）、《上海市事业单位国有资产管理办法》（沪财教〔2016〕26号）和《上海市教育委员会系统事业单位固定资产管理细则》（沪教委国资〔2014〕31号）、《上海应用技术大学固定资产管理办法》，结合我院的实际情况，特制定本办法。</w:t>
            </w:r>
          </w:p>
          <w:p w14:paraId="57CB5C6F">
            <w:pPr>
              <w:pStyle w:val="6"/>
              <w:widowControl/>
              <w:spacing w:line="440" w:lineRule="exact"/>
              <w:ind w:firstLine="645"/>
            </w:pPr>
            <w:r>
              <w:rPr>
                <w:rFonts w:hint="eastAsia" w:ascii="仿宋" w:hAnsi="仿宋" w:eastAsia="仿宋" w:cs="仿宋"/>
                <w:color w:val="444444"/>
              </w:rPr>
              <w:t>第二条  学院国有资产是指学院所占有、使用的，依法确认为国家所有，能以货币计量的各种经济资源的总称。其表现形式为流动资产、固定资产、无形资产和对外投资等。</w:t>
            </w:r>
          </w:p>
          <w:p w14:paraId="15821006">
            <w:pPr>
              <w:pStyle w:val="6"/>
              <w:widowControl/>
              <w:spacing w:line="440" w:lineRule="exact"/>
              <w:ind w:firstLine="630"/>
            </w:pPr>
            <w:r>
              <w:rPr>
                <w:rFonts w:hint="eastAsia" w:ascii="仿宋" w:hAnsi="仿宋" w:eastAsia="仿宋" w:cs="仿宋"/>
                <w:color w:val="444444"/>
              </w:rPr>
              <w:t>本办法仅适用于学院固定资产管理，无形资产管理参照执行。</w:t>
            </w:r>
          </w:p>
          <w:p w14:paraId="0F408C9F">
            <w:pPr>
              <w:pStyle w:val="6"/>
              <w:widowControl/>
              <w:spacing w:line="440" w:lineRule="exact"/>
              <w:ind w:firstLine="645"/>
            </w:pPr>
            <w:r>
              <w:rPr>
                <w:rFonts w:hint="eastAsia" w:ascii="仿宋" w:hAnsi="仿宋" w:eastAsia="仿宋" w:cs="仿宋"/>
                <w:color w:val="444444"/>
              </w:rPr>
              <w:t>固定资产管理任务是：按照事业财务管理制度和国有资产管理的要求，强化国有资产的产权意识，做好固定资产的日常账务和实物管理，保证固定资产安全和完整，防止固定资产流失；合理配备固定资产，充分发挥固定资产的作用，满足学院各项工作的需要；建立健全资产管理制度，规范管理固定资产使用周期中的计划、采购、验收、账务、统计、使用、维护、处置等各个环节，实现固定资产管理的规范化和信息化，提高固定资产在使用周期中的有效利用率。</w:t>
            </w:r>
          </w:p>
          <w:p w14:paraId="69C8C3ED">
            <w:pPr>
              <w:pStyle w:val="6"/>
              <w:widowControl/>
              <w:spacing w:line="440" w:lineRule="exact"/>
              <w:ind w:firstLine="705"/>
            </w:pPr>
            <w:r>
              <w:rPr>
                <w:rFonts w:hint="eastAsia" w:ascii="仿宋" w:hAnsi="仿宋" w:eastAsia="仿宋" w:cs="仿宋"/>
                <w:color w:val="444444"/>
              </w:rPr>
              <w:t>第三条  固定资产管理内容包括：资产配置、验收入库、维护保管等日常管理；资产的账卡管理、清查核实、产权登记、统计报告、监督检查；资产评估、出租、出借管理；资产信息化管理及报告等。</w:t>
            </w:r>
          </w:p>
          <w:p w14:paraId="2E1C0902">
            <w:pPr>
              <w:pStyle w:val="6"/>
              <w:widowControl/>
              <w:spacing w:line="440" w:lineRule="exact"/>
              <w:jc w:val="center"/>
            </w:pPr>
            <w:r>
              <w:rPr>
                <w:rStyle w:val="10"/>
                <w:rFonts w:hint="eastAsia" w:ascii="仿宋" w:hAnsi="仿宋" w:eastAsia="仿宋" w:cs="仿宋"/>
                <w:color w:val="444444"/>
              </w:rPr>
              <w:t>第二章固定资产的管理体制</w:t>
            </w:r>
          </w:p>
          <w:p w14:paraId="2D277AA6">
            <w:pPr>
              <w:pStyle w:val="6"/>
              <w:widowControl/>
              <w:spacing w:line="440" w:lineRule="exact"/>
              <w:ind w:firstLine="645"/>
            </w:pPr>
            <w:r>
              <w:rPr>
                <w:rFonts w:hint="eastAsia" w:ascii="仿宋" w:hAnsi="仿宋" w:eastAsia="仿宋" w:cs="仿宋"/>
                <w:color w:val="444444"/>
              </w:rPr>
              <w:t>第四条  固定资产的管理和使用应坚持“统一领导、分级管理、明确职责、管用结合、程序规范”的原则。学院固定资产管理工作由主管院领导统一领导，各</w:t>
            </w:r>
            <w:r>
              <w:rPr>
                <w:rFonts w:ascii="仿宋" w:hAnsi="仿宋" w:eastAsia="仿宋" w:cs="仿宋"/>
                <w:color w:val="444444"/>
              </w:rPr>
              <w:t>办公室及实验室</w:t>
            </w:r>
            <w:r>
              <w:rPr>
                <w:rFonts w:hint="eastAsia" w:ascii="仿宋" w:hAnsi="仿宋" w:eastAsia="仿宋" w:cs="仿宋"/>
                <w:color w:val="444444"/>
              </w:rPr>
              <w:t>为固定资产的实际使用部门，资产保管人对本人固定资产的管理、使用、安全等负有全面责任。</w:t>
            </w:r>
          </w:p>
          <w:p w14:paraId="29F408BD">
            <w:pPr>
              <w:pStyle w:val="6"/>
              <w:widowControl/>
              <w:spacing w:line="440" w:lineRule="exact"/>
              <w:ind w:firstLine="645"/>
            </w:pPr>
            <w:r>
              <w:rPr>
                <w:rFonts w:hint="eastAsia" w:ascii="仿宋" w:hAnsi="仿宋" w:eastAsia="仿宋" w:cs="仿宋"/>
                <w:color w:val="444444"/>
              </w:rPr>
              <w:t>第五条  </w:t>
            </w:r>
            <w:r>
              <w:rPr>
                <w:rFonts w:ascii="仿宋" w:hAnsi="仿宋" w:eastAsia="仿宋" w:cs="仿宋"/>
                <w:color w:val="444444"/>
              </w:rPr>
              <w:t>设备保管人是</w:t>
            </w:r>
            <w:r>
              <w:rPr>
                <w:rFonts w:hint="eastAsia" w:ascii="仿宋" w:hAnsi="仿宋" w:eastAsia="仿宋" w:cs="仿宋"/>
                <w:color w:val="444444"/>
              </w:rPr>
              <w:t>固定资产管理的第一责任人，对</w:t>
            </w:r>
            <w:r>
              <w:rPr>
                <w:rFonts w:ascii="仿宋" w:hAnsi="仿宋" w:eastAsia="仿宋" w:cs="仿宋"/>
                <w:color w:val="444444"/>
              </w:rPr>
              <w:t>自己所管的</w:t>
            </w:r>
            <w:r>
              <w:rPr>
                <w:rFonts w:hint="eastAsia" w:ascii="仿宋" w:hAnsi="仿宋" w:eastAsia="仿宋" w:cs="仿宋"/>
                <w:color w:val="444444"/>
              </w:rPr>
              <w:t>固定资产负有全面管理责任。学院职责：</w:t>
            </w:r>
          </w:p>
          <w:p w14:paraId="19F400CA">
            <w:pPr>
              <w:pStyle w:val="6"/>
              <w:widowControl/>
              <w:spacing w:line="440" w:lineRule="exact"/>
              <w:ind w:firstLine="600" w:firstLineChars="250"/>
            </w:pPr>
            <w:r>
              <w:rPr>
                <w:rFonts w:hint="eastAsia" w:ascii="仿宋" w:hAnsi="仿宋" w:eastAsia="仿宋" w:cs="仿宋"/>
                <w:color w:val="444444"/>
              </w:rPr>
              <w:t>（一）贯彻落实学院相关固定资产管理的规章制度，并根据学院规章制度制定本部门固定资产管理实施细则，指定专人负责固定资产管理工作；建立本部门固定资产明细账，负责固定资产规范化管理、使用及使用效益管理。</w:t>
            </w:r>
          </w:p>
          <w:p w14:paraId="6F638EFD">
            <w:pPr>
              <w:pStyle w:val="6"/>
              <w:widowControl/>
              <w:spacing w:line="440" w:lineRule="exact"/>
              <w:ind w:firstLine="720"/>
            </w:pPr>
            <w:r>
              <w:rPr>
                <w:rFonts w:hint="eastAsia" w:ascii="仿宋" w:hAnsi="仿宋" w:eastAsia="仿宋" w:cs="仿宋"/>
                <w:color w:val="444444"/>
              </w:rPr>
              <w:t>（二）在学院规定的职责范围内，负责对本部门所属的固定资产进行调配，确保固定资产的安全和完整。每件固定资产必须有专门保管人；当本部门固定资产的保管人发生变更、或固定资产的安置地点发生改变，应及时变更卡片，保证账、物、卡、人一致。</w:t>
            </w:r>
          </w:p>
          <w:p w14:paraId="787B0037">
            <w:pPr>
              <w:pStyle w:val="6"/>
              <w:widowControl/>
              <w:spacing w:line="440" w:lineRule="exact"/>
              <w:ind w:firstLine="645"/>
            </w:pPr>
            <w:r>
              <w:rPr>
                <w:rFonts w:hint="eastAsia" w:ascii="仿宋" w:hAnsi="仿宋" w:eastAsia="仿宋" w:cs="仿宋"/>
                <w:color w:val="444444"/>
              </w:rPr>
              <w:t>（三）学院对本部门的固定资产管理落实</w:t>
            </w:r>
            <w:r>
              <w:rPr>
                <w:rFonts w:ascii="仿宋" w:hAnsi="仿宋" w:eastAsia="仿宋" w:cs="仿宋"/>
                <w:color w:val="444444"/>
              </w:rPr>
              <w:t>到固定</w:t>
            </w:r>
            <w:r>
              <w:rPr>
                <w:rFonts w:hint="eastAsia" w:ascii="仿宋" w:hAnsi="仿宋" w:eastAsia="仿宋" w:cs="仿宋"/>
                <w:color w:val="444444"/>
              </w:rPr>
              <w:t>资产</w:t>
            </w:r>
            <w:r>
              <w:rPr>
                <w:rFonts w:ascii="仿宋" w:hAnsi="仿宋" w:eastAsia="仿宋" w:cs="仿宋"/>
                <w:color w:val="444444"/>
              </w:rPr>
              <w:t>保管人</w:t>
            </w:r>
            <w:r>
              <w:rPr>
                <w:rFonts w:hint="eastAsia" w:ascii="仿宋" w:hAnsi="仿宋" w:eastAsia="仿宋" w:cs="仿宋"/>
                <w:color w:val="444444"/>
              </w:rPr>
              <w:t>，</w:t>
            </w:r>
            <w:r>
              <w:rPr>
                <w:rFonts w:ascii="仿宋" w:hAnsi="仿宋" w:eastAsia="仿宋" w:cs="仿宋"/>
                <w:color w:val="444444"/>
              </w:rPr>
              <w:t>固定资产保管人要按学校要求管理设备</w:t>
            </w:r>
            <w:r>
              <w:rPr>
                <w:rFonts w:hint="eastAsia" w:ascii="仿宋" w:hAnsi="仿宋" w:eastAsia="仿宋" w:cs="仿宋"/>
                <w:color w:val="444444"/>
              </w:rPr>
              <w:t>,制定仪器设备安全操作规程，确保仪器设备安全使用和维修保养。</w:t>
            </w:r>
          </w:p>
          <w:p w14:paraId="28DF27E3">
            <w:pPr>
              <w:pStyle w:val="6"/>
              <w:widowControl/>
              <w:spacing w:line="440" w:lineRule="exact"/>
            </w:pPr>
            <w:r>
              <w:rPr>
                <w:rFonts w:hint="eastAsia" w:ascii="仿宋" w:hAnsi="仿宋" w:eastAsia="仿宋" w:cs="仿宋"/>
                <w:color w:val="444444"/>
              </w:rPr>
              <w:t>　　 （四）完成学校布置的各项任务，根据学校要求，定期或不定期地进行资产清查，保证帐、物、卡相符，认真做好有关固定资产管理的各种统计报表工作，主动接受审计、监察等部门的检查和监督。</w:t>
            </w:r>
          </w:p>
          <w:p w14:paraId="734A57F7">
            <w:pPr>
              <w:pStyle w:val="6"/>
              <w:widowControl/>
              <w:spacing w:line="440" w:lineRule="exact"/>
              <w:ind w:firstLine="645"/>
              <w:rPr>
                <w:rFonts w:ascii="仿宋" w:hAnsi="仿宋" w:eastAsia="仿宋" w:cs="仿宋"/>
                <w:color w:val="444444"/>
              </w:rPr>
            </w:pPr>
            <w:r>
              <w:rPr>
                <w:rFonts w:ascii="仿宋" w:hAnsi="仿宋" w:eastAsia="仿宋" w:cs="仿宋"/>
                <w:color w:val="444444"/>
              </w:rPr>
              <w:t>（五）</w:t>
            </w:r>
            <w:r>
              <w:rPr>
                <w:rFonts w:hint="eastAsia" w:ascii="仿宋" w:hAnsi="仿宋" w:eastAsia="仿宋" w:cs="仿宋"/>
                <w:color w:val="444444"/>
              </w:rPr>
              <w:t>学院设专人承担固定资产管理工作，对接学校，协助领导完成相关工作。</w:t>
            </w:r>
          </w:p>
          <w:p w14:paraId="66B6EEE5">
            <w:pPr>
              <w:pStyle w:val="6"/>
              <w:widowControl/>
              <w:spacing w:line="440" w:lineRule="exact"/>
              <w:jc w:val="center"/>
            </w:pPr>
            <w:r>
              <w:rPr>
                <w:rStyle w:val="10"/>
                <w:rFonts w:hint="eastAsia" w:ascii="仿宋" w:hAnsi="仿宋" w:eastAsia="仿宋" w:cs="仿宋"/>
                <w:color w:val="444444"/>
              </w:rPr>
              <w:t>第三章固定资产的日常管理</w:t>
            </w:r>
          </w:p>
          <w:p w14:paraId="3D6CBDAD">
            <w:pPr>
              <w:pStyle w:val="6"/>
              <w:widowControl/>
              <w:spacing w:line="440" w:lineRule="exact"/>
              <w:ind w:firstLine="645"/>
            </w:pPr>
            <w:r>
              <w:rPr>
                <w:rFonts w:hint="eastAsia" w:ascii="仿宋" w:hAnsi="仿宋" w:eastAsia="仿宋" w:cs="仿宋"/>
                <w:color w:val="444444"/>
              </w:rPr>
              <w:t>第六条  固定资产的卡片及标签</w:t>
            </w:r>
          </w:p>
          <w:p w14:paraId="27376D14">
            <w:pPr>
              <w:pStyle w:val="6"/>
              <w:widowControl/>
              <w:spacing w:line="440" w:lineRule="exact"/>
              <w:ind w:firstLine="645"/>
            </w:pPr>
            <w:r>
              <w:rPr>
                <w:rFonts w:hint="eastAsia" w:ascii="仿宋" w:hAnsi="仿宋" w:eastAsia="仿宋" w:cs="仿宋"/>
                <w:color w:val="444444"/>
              </w:rPr>
              <w:t>固定资产卡片是开展固定资产管理，确认管用双方责任关系的重要凭证。凡入账的固定资产都应建立固定资产卡片，单件价值超过固定资产起点单价的固定资产必须一物一卡；单件价值不足固定资产起点单价的批量固定资产可以一物一卡，也可多物一卡；其中图书、档案按部门分别可以实行多物一卡。在固定资产信息发生变化时，应在固定资产卡片的变动情况栏中予以注明。</w:t>
            </w:r>
          </w:p>
          <w:p w14:paraId="0A441B22">
            <w:pPr>
              <w:pStyle w:val="6"/>
              <w:widowControl/>
              <w:spacing w:line="440" w:lineRule="exact"/>
              <w:ind w:firstLine="645"/>
            </w:pPr>
            <w:r>
              <w:rPr>
                <w:rFonts w:hint="eastAsia" w:ascii="仿宋" w:hAnsi="仿宋" w:eastAsia="仿宋" w:cs="仿宋"/>
                <w:color w:val="444444"/>
              </w:rPr>
              <w:t>学校根据固定资产卡片制作固定资产标签，贴在固定资产的明显部位，作为鉴别标识。</w:t>
            </w:r>
          </w:p>
          <w:p w14:paraId="1977C1EC">
            <w:pPr>
              <w:pStyle w:val="6"/>
              <w:widowControl/>
              <w:spacing w:line="440" w:lineRule="exact"/>
              <w:ind w:firstLine="645"/>
            </w:pPr>
            <w:r>
              <w:rPr>
                <w:rFonts w:hint="eastAsia" w:ascii="仿宋" w:hAnsi="仿宋" w:eastAsia="仿宋" w:cs="仿宋"/>
                <w:color w:val="444444"/>
              </w:rPr>
              <w:t>第七条  固定资产保管使用</w:t>
            </w:r>
          </w:p>
          <w:p w14:paraId="71DB2A7C">
            <w:pPr>
              <w:pStyle w:val="6"/>
              <w:widowControl/>
              <w:spacing w:line="440" w:lineRule="exact"/>
              <w:ind w:firstLine="630"/>
            </w:pPr>
            <w:r>
              <w:rPr>
                <w:rFonts w:hint="eastAsia" w:ascii="仿宋" w:hAnsi="仿宋" w:eastAsia="仿宋" w:cs="仿宋"/>
                <w:color w:val="444444"/>
              </w:rPr>
              <w:t>学院及各使用部门应建立固定资产保管使用规范，建立固定资产领用和交还制度，明确固定资产保管使用的职责。固定资产保管应由使用人负责，使用人发生变更时，应办理必要的转移交接手续。固定资产一般应按原始套件进行使用，使用人不得自行拆装整合，如工作上确有需要拆装整合的，应经过批准。资产与实验室管理处根据拆装整合的实际情况，对账务进行相应的调整。</w:t>
            </w:r>
          </w:p>
          <w:p w14:paraId="0C4E5789">
            <w:pPr>
              <w:pStyle w:val="6"/>
              <w:widowControl/>
              <w:spacing w:line="440" w:lineRule="exact"/>
              <w:ind w:firstLine="645"/>
            </w:pPr>
            <w:r>
              <w:rPr>
                <w:rFonts w:hint="eastAsia" w:ascii="仿宋" w:hAnsi="仿宋" w:eastAsia="仿宋" w:cs="仿宋"/>
                <w:color w:val="444444"/>
              </w:rPr>
              <w:t>第八条　固定资产维护保养</w:t>
            </w:r>
          </w:p>
          <w:p w14:paraId="62F395EE">
            <w:pPr>
              <w:pStyle w:val="6"/>
              <w:widowControl/>
              <w:spacing w:before="100" w:after="100" w:line="440" w:lineRule="exact"/>
              <w:ind w:firstLine="645"/>
            </w:pPr>
            <w:r>
              <w:rPr>
                <w:rFonts w:hint="eastAsia" w:ascii="仿宋" w:hAnsi="仿宋" w:eastAsia="仿宋" w:cs="仿宋"/>
                <w:color w:val="444444"/>
              </w:rPr>
              <w:t>固定资产保管人维护保养、故障检修，保障固定资产的安全和稳定运行。固定资产保管人应做好如下工作：</w:t>
            </w:r>
          </w:p>
          <w:p w14:paraId="4D62BF3E">
            <w:pPr>
              <w:pStyle w:val="6"/>
              <w:widowControl/>
              <w:spacing w:line="440" w:lineRule="exact"/>
              <w:ind w:firstLine="480"/>
            </w:pPr>
            <w:r>
              <w:rPr>
                <w:rFonts w:hint="eastAsia" w:ascii="仿宋" w:hAnsi="仿宋" w:eastAsia="仿宋" w:cs="仿宋"/>
                <w:color w:val="444444"/>
              </w:rPr>
              <w:t>（一）检查固定资产的运行情况和安全情况，及时消除各类隐患；</w:t>
            </w:r>
          </w:p>
          <w:p w14:paraId="325E8BF8">
            <w:pPr>
              <w:pStyle w:val="6"/>
              <w:widowControl/>
              <w:spacing w:line="440" w:lineRule="exact"/>
              <w:ind w:firstLine="480"/>
            </w:pPr>
            <w:r>
              <w:rPr>
                <w:rFonts w:hint="eastAsia" w:ascii="仿宋" w:hAnsi="仿宋" w:eastAsia="仿宋" w:cs="仿宋"/>
                <w:color w:val="444444"/>
              </w:rPr>
              <w:t>（二）对固定资产进行维护保养，停机检修；</w:t>
            </w:r>
          </w:p>
          <w:p w14:paraId="2D815076">
            <w:pPr>
              <w:pStyle w:val="6"/>
              <w:widowControl/>
              <w:spacing w:line="440" w:lineRule="exact"/>
              <w:ind w:firstLine="480"/>
            </w:pPr>
            <w:r>
              <w:rPr>
                <w:rFonts w:hint="eastAsia" w:ascii="仿宋" w:hAnsi="仿宋" w:eastAsia="仿宋" w:cs="仿宋"/>
                <w:color w:val="444444"/>
              </w:rPr>
              <w:t>（三）联系产品生产厂商对质保期内固定资产故障进行维修；</w:t>
            </w:r>
          </w:p>
          <w:p w14:paraId="31C09484">
            <w:pPr>
              <w:pStyle w:val="6"/>
              <w:widowControl/>
              <w:spacing w:line="440" w:lineRule="exact"/>
              <w:ind w:firstLine="480"/>
            </w:pPr>
            <w:r>
              <w:rPr>
                <w:rFonts w:hint="eastAsia" w:ascii="仿宋" w:hAnsi="仿宋" w:eastAsia="仿宋" w:cs="仿宋"/>
                <w:color w:val="444444"/>
              </w:rPr>
              <w:t>（四）提出质保期外固定资产故障维修申请，批准后实施；</w:t>
            </w:r>
          </w:p>
          <w:p w14:paraId="3EE25C8C">
            <w:pPr>
              <w:pStyle w:val="6"/>
              <w:widowControl/>
              <w:spacing w:line="440" w:lineRule="exact"/>
              <w:ind w:firstLine="480"/>
            </w:pPr>
            <w:r>
              <w:rPr>
                <w:rFonts w:hint="eastAsia" w:ascii="仿宋" w:hAnsi="仿宋" w:eastAsia="仿宋" w:cs="仿宋"/>
                <w:color w:val="444444"/>
              </w:rPr>
              <w:t>（五）提出固定资产技术改造或大修申请，批准后实施；</w:t>
            </w:r>
          </w:p>
          <w:p w14:paraId="07F4D1A8">
            <w:pPr>
              <w:pStyle w:val="6"/>
              <w:widowControl/>
              <w:spacing w:line="440" w:lineRule="exact"/>
              <w:ind w:firstLine="480"/>
            </w:pPr>
            <w:r>
              <w:rPr>
                <w:rFonts w:hint="eastAsia" w:ascii="仿宋" w:hAnsi="仿宋" w:eastAsia="仿宋" w:cs="仿宋"/>
                <w:color w:val="444444"/>
              </w:rPr>
              <w:t>（六）提出安全事故报告，配合查明原因，做好善后处理。</w:t>
            </w:r>
          </w:p>
          <w:p w14:paraId="4B4C2E18">
            <w:pPr>
              <w:pStyle w:val="6"/>
              <w:widowControl/>
              <w:spacing w:line="440" w:lineRule="exact"/>
              <w:ind w:firstLine="645"/>
            </w:pPr>
            <w:r>
              <w:rPr>
                <w:rFonts w:hint="eastAsia" w:ascii="仿宋" w:hAnsi="仿宋" w:eastAsia="仿宋" w:cs="仿宋"/>
                <w:color w:val="444444"/>
              </w:rPr>
              <w:t>第九条　固定资产移交</w:t>
            </w:r>
          </w:p>
          <w:p w14:paraId="6C596CB6">
            <w:pPr>
              <w:pStyle w:val="6"/>
              <w:widowControl/>
              <w:spacing w:line="440" w:lineRule="exact"/>
              <w:ind w:firstLine="645"/>
            </w:pPr>
            <w:r>
              <w:rPr>
                <w:rFonts w:hint="eastAsia" w:ascii="仿宋" w:hAnsi="仿宋" w:eastAsia="仿宋" w:cs="仿宋"/>
                <w:color w:val="444444"/>
              </w:rPr>
              <w:t>固定资产保管人因工作变动、退休等原因离开工作岗位时，应指定新的固定资产保管人，并及时办理固定资产管理或实物移交手续；未经移交的，不得办理转岗或离职或退休手续。</w:t>
            </w:r>
          </w:p>
          <w:p w14:paraId="7A12B3C9">
            <w:pPr>
              <w:pStyle w:val="6"/>
              <w:widowControl/>
              <w:spacing w:line="440" w:lineRule="exact"/>
              <w:ind w:firstLine="645"/>
            </w:pPr>
            <w:r>
              <w:rPr>
                <w:rFonts w:hint="eastAsia" w:ascii="仿宋" w:hAnsi="仿宋" w:eastAsia="仿宋" w:cs="仿宋"/>
                <w:color w:val="444444"/>
              </w:rPr>
              <w:t>固定资产保管人携带其原保管使用的固定资产在校内转岗，应向部门资产管理人员提出申请，办理资产内调手续。对于因突发事件、伤亡等各类特殊原因造成离岗的原保管人（使用人）名下的固定资产，学院应在自事件发生起的3个月内指派新的固定资产保管人保管相应设备，并及时到资产与实验室管理处办理相应固定资产的移交手续。</w:t>
            </w:r>
          </w:p>
          <w:p w14:paraId="42A8FEC1">
            <w:pPr>
              <w:pStyle w:val="6"/>
              <w:widowControl/>
              <w:spacing w:line="440" w:lineRule="exact"/>
              <w:ind w:firstLine="645"/>
            </w:pPr>
            <w:r>
              <w:rPr>
                <w:rFonts w:hint="eastAsia" w:ascii="仿宋" w:hAnsi="仿宋" w:eastAsia="仿宋" w:cs="仿宋"/>
                <w:color w:val="444444"/>
              </w:rPr>
              <w:t>根据《上海应用技术学院处级干部岗位交接备忘录》要求，因岗位变动的离任干部须将本人保管的部门办公设备、物品等转移至接任干部，并报学院资产与实验室管理处备案。</w:t>
            </w:r>
          </w:p>
          <w:p w14:paraId="7D6ECCEF">
            <w:pPr>
              <w:pStyle w:val="6"/>
              <w:widowControl/>
              <w:spacing w:line="440" w:lineRule="exact"/>
              <w:ind w:firstLine="645"/>
            </w:pPr>
            <w:r>
              <w:rPr>
                <w:rFonts w:hint="eastAsia" w:ascii="仿宋" w:hAnsi="仿宋" w:eastAsia="仿宋" w:cs="仿宋"/>
                <w:color w:val="444444"/>
              </w:rPr>
              <w:t>第十条　固定资产内调</w:t>
            </w:r>
          </w:p>
          <w:p w14:paraId="604EA91F">
            <w:pPr>
              <w:pStyle w:val="6"/>
              <w:widowControl/>
              <w:spacing w:line="440" w:lineRule="exact"/>
              <w:ind w:firstLine="645"/>
            </w:pPr>
            <w:r>
              <w:rPr>
                <w:rFonts w:hint="eastAsia" w:ascii="仿宋" w:hAnsi="仿宋" w:eastAsia="仿宋" w:cs="仿宋"/>
                <w:color w:val="444444"/>
              </w:rPr>
              <w:t>固定资产内调是指校内各使用部门之间发生的固定资产管理及使用权的转移。发生固定资产内调时，转出部门应填写调拨单，经转出部门和转入部门资产管理员和主要负责人确认、资产与实验室管理处审批同意后，办理固定资产内调手续。</w:t>
            </w:r>
          </w:p>
          <w:p w14:paraId="7B1BA8B4">
            <w:pPr>
              <w:pStyle w:val="6"/>
              <w:widowControl/>
              <w:spacing w:line="440" w:lineRule="exact"/>
              <w:ind w:firstLine="645"/>
            </w:pPr>
            <w:r>
              <w:rPr>
                <w:rFonts w:hint="eastAsia" w:ascii="仿宋" w:hAnsi="仿宋" w:eastAsia="仿宋" w:cs="仿宋"/>
                <w:color w:val="444444"/>
              </w:rPr>
              <w:t>第十一条  加强对学院固定资产的管理，建立全校固定资产动态信息管理系统。建立贵重仪器设备技术档案，在校园网上发布校内大型精密仪器设备介绍，加强贵重仪器设备校内外协作共享共用，提高使用效益。</w:t>
            </w:r>
          </w:p>
          <w:p w14:paraId="4EB2F803">
            <w:pPr>
              <w:pStyle w:val="6"/>
              <w:widowControl/>
              <w:spacing w:line="440" w:lineRule="exact"/>
            </w:pPr>
            <w:r>
              <w:rPr>
                <w:rFonts w:hint="eastAsia" w:ascii="仿宋" w:hAnsi="仿宋" w:eastAsia="仿宋" w:cs="仿宋"/>
                <w:color w:val="444444"/>
              </w:rPr>
              <w:t>    第十二条  利用学院国有资产出租、出借等取得的收入，扣除税金、手续费等支出后，应上缴市级财政国库。便携式固定资产经保管人同意可以出借在校园内使用，保管人做好“生态学院固定资产出借台账” （附件1）记录。如果固定资产需拿到校外使用，使用人需填写“生态学院固定资产校外临时使用申请表”（附件2），经主管领导批准后方可外借使用，保管人同时做好台账记录。</w:t>
            </w:r>
          </w:p>
          <w:p w14:paraId="14C1CCFA">
            <w:pPr>
              <w:pStyle w:val="6"/>
              <w:widowControl/>
              <w:spacing w:line="440" w:lineRule="exact"/>
            </w:pPr>
            <w:r>
              <w:rPr>
                <w:rFonts w:hint="eastAsia" w:ascii="仿宋" w:hAnsi="仿宋" w:eastAsia="仿宋" w:cs="仿宋"/>
                <w:color w:val="444444"/>
              </w:rPr>
              <w:t>    第十三条  对利用学院固定资产进行非法经营活动、未经许可擅自处理、变卖学院固定资产的收入，学院将予以没收，并对有关责任人按相关规定给予经济制裁或纪律处分，直至追究法律刑事责任。</w:t>
            </w:r>
          </w:p>
          <w:p w14:paraId="19A78B4D">
            <w:pPr>
              <w:pStyle w:val="6"/>
              <w:widowControl/>
              <w:spacing w:line="440" w:lineRule="exact"/>
              <w:ind w:firstLine="645"/>
            </w:pPr>
            <w:r>
              <w:rPr>
                <w:rFonts w:hint="eastAsia" w:ascii="仿宋" w:hAnsi="仿宋" w:eastAsia="仿宋" w:cs="仿宋"/>
                <w:color w:val="444444"/>
              </w:rPr>
              <w:t>第十四条  本办法解释权归生态技术与工程学院。</w:t>
            </w:r>
          </w:p>
          <w:p w14:paraId="05E66B6C">
            <w:pPr>
              <w:pStyle w:val="6"/>
              <w:widowControl/>
            </w:pPr>
          </w:p>
        </w:tc>
      </w:tr>
    </w:tbl>
    <w:p w14:paraId="32B01F5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628"/>
    <w:rsid w:val="00067F88"/>
    <w:rsid w:val="002242F6"/>
    <w:rsid w:val="002862F5"/>
    <w:rsid w:val="002B5454"/>
    <w:rsid w:val="002F5691"/>
    <w:rsid w:val="003B7A1A"/>
    <w:rsid w:val="003D408C"/>
    <w:rsid w:val="003E0BD7"/>
    <w:rsid w:val="004644C9"/>
    <w:rsid w:val="005339A0"/>
    <w:rsid w:val="005A652E"/>
    <w:rsid w:val="00707875"/>
    <w:rsid w:val="007948E0"/>
    <w:rsid w:val="00815261"/>
    <w:rsid w:val="00850FFD"/>
    <w:rsid w:val="00856D75"/>
    <w:rsid w:val="008D7628"/>
    <w:rsid w:val="009D33AF"/>
    <w:rsid w:val="00A11187"/>
    <w:rsid w:val="00A50A94"/>
    <w:rsid w:val="00AA2B14"/>
    <w:rsid w:val="00AF6663"/>
    <w:rsid w:val="00B302CC"/>
    <w:rsid w:val="00B52B17"/>
    <w:rsid w:val="00C21FE8"/>
    <w:rsid w:val="00C32495"/>
    <w:rsid w:val="00C56AAD"/>
    <w:rsid w:val="00DD4193"/>
    <w:rsid w:val="00E12051"/>
    <w:rsid w:val="00F249D1"/>
    <w:rsid w:val="00F42E2E"/>
    <w:rsid w:val="00F74577"/>
    <w:rsid w:val="425D72FB"/>
    <w:rsid w:val="79F06A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uiPriority w:val="0"/>
    <w:pPr>
      <w:jc w:val="left"/>
    </w:pPr>
  </w:style>
  <w:style w:type="paragraph" w:styleId="3">
    <w:name w:val="Balloon Text"/>
    <w:basedOn w:val="1"/>
    <w:link w:val="19"/>
    <w:uiPriority w:val="0"/>
    <w:rPr>
      <w:sz w:val="18"/>
      <w:szCs w:val="18"/>
    </w:rPr>
  </w:style>
  <w:style w:type="paragraph" w:styleId="4">
    <w:name w:val="footer"/>
    <w:basedOn w:val="1"/>
    <w:link w:val="21"/>
    <w:qFormat/>
    <w:uiPriority w:val="0"/>
    <w:pPr>
      <w:tabs>
        <w:tab w:val="center" w:pos="4153"/>
        <w:tab w:val="right" w:pos="8306"/>
      </w:tabs>
      <w:snapToGrid w:val="0"/>
      <w:jc w:val="left"/>
    </w:pPr>
    <w:rPr>
      <w:sz w:val="18"/>
      <w:szCs w:val="18"/>
    </w:rPr>
  </w:style>
  <w:style w:type="paragraph" w:styleId="5">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Autospacing="1" w:afterAutospacing="1"/>
      <w:jc w:val="left"/>
    </w:pPr>
    <w:rPr>
      <w:rFonts w:cs="Times New Roman"/>
      <w:kern w:val="0"/>
      <w:sz w:val="24"/>
    </w:rPr>
  </w:style>
  <w:style w:type="paragraph" w:styleId="7">
    <w:name w:val="annotation subject"/>
    <w:basedOn w:val="2"/>
    <w:next w:val="2"/>
    <w:link w:val="18"/>
    <w:uiPriority w:val="0"/>
    <w:rPr>
      <w:b/>
      <w:bCs/>
    </w:rPr>
  </w:style>
  <w:style w:type="character" w:styleId="10">
    <w:name w:val="Strong"/>
    <w:basedOn w:val="9"/>
    <w:qFormat/>
    <w:uiPriority w:val="0"/>
    <w:rPr>
      <w:b/>
    </w:rPr>
  </w:style>
  <w:style w:type="character" w:styleId="11">
    <w:name w:val="FollowedHyperlink"/>
    <w:basedOn w:val="9"/>
    <w:uiPriority w:val="0"/>
    <w:rPr>
      <w:color w:val="444444"/>
      <w:sz w:val="18"/>
      <w:szCs w:val="18"/>
      <w:u w:val="none"/>
    </w:rPr>
  </w:style>
  <w:style w:type="character" w:styleId="12">
    <w:name w:val="Hyperlink"/>
    <w:basedOn w:val="9"/>
    <w:uiPriority w:val="0"/>
    <w:rPr>
      <w:color w:val="444444"/>
      <w:sz w:val="18"/>
      <w:szCs w:val="18"/>
      <w:u w:val="none"/>
    </w:rPr>
  </w:style>
  <w:style w:type="character" w:styleId="13">
    <w:name w:val="annotation reference"/>
    <w:basedOn w:val="9"/>
    <w:uiPriority w:val="0"/>
    <w:rPr>
      <w:sz w:val="21"/>
      <w:szCs w:val="21"/>
    </w:rPr>
  </w:style>
  <w:style w:type="character" w:customStyle="1" w:styleId="14">
    <w:name w:val="item-name"/>
    <w:basedOn w:val="9"/>
    <w:uiPriority w:val="0"/>
  </w:style>
  <w:style w:type="character" w:customStyle="1" w:styleId="15">
    <w:name w:val="item-name1"/>
    <w:basedOn w:val="9"/>
    <w:uiPriority w:val="0"/>
  </w:style>
  <w:style w:type="character" w:customStyle="1" w:styleId="16">
    <w:name w:val="style31"/>
    <w:basedOn w:val="9"/>
    <w:uiPriority w:val="0"/>
    <w:rPr>
      <w:color w:val="666666"/>
    </w:rPr>
  </w:style>
  <w:style w:type="character" w:customStyle="1" w:styleId="17">
    <w:name w:val="批注文字 Char"/>
    <w:basedOn w:val="9"/>
    <w:link w:val="2"/>
    <w:uiPriority w:val="0"/>
    <w:rPr>
      <w:rFonts w:asciiTheme="minorHAnsi" w:hAnsiTheme="minorHAnsi" w:eastAsiaTheme="minorEastAsia" w:cstheme="minorBidi"/>
      <w:kern w:val="2"/>
      <w:sz w:val="21"/>
      <w:szCs w:val="24"/>
    </w:rPr>
  </w:style>
  <w:style w:type="character" w:customStyle="1" w:styleId="18">
    <w:name w:val="批注主题 Char"/>
    <w:basedOn w:val="17"/>
    <w:link w:val="7"/>
    <w:uiPriority w:val="0"/>
    <w:rPr>
      <w:rFonts w:asciiTheme="minorHAnsi" w:hAnsiTheme="minorHAnsi" w:eastAsiaTheme="minorEastAsia" w:cstheme="minorBidi"/>
      <w:b/>
      <w:bCs/>
      <w:kern w:val="2"/>
      <w:sz w:val="21"/>
      <w:szCs w:val="24"/>
    </w:rPr>
  </w:style>
  <w:style w:type="character" w:customStyle="1" w:styleId="19">
    <w:name w:val="批注框文本 Char"/>
    <w:basedOn w:val="9"/>
    <w:link w:val="3"/>
    <w:uiPriority w:val="0"/>
    <w:rPr>
      <w:rFonts w:asciiTheme="minorHAnsi" w:hAnsiTheme="minorHAnsi" w:eastAsiaTheme="minorEastAsia" w:cstheme="minorBidi"/>
      <w:kern w:val="2"/>
      <w:sz w:val="18"/>
      <w:szCs w:val="18"/>
    </w:rPr>
  </w:style>
  <w:style w:type="character" w:customStyle="1" w:styleId="20">
    <w:name w:val="页眉 Char"/>
    <w:basedOn w:val="9"/>
    <w:link w:val="5"/>
    <w:qFormat/>
    <w:uiPriority w:val="0"/>
    <w:rPr>
      <w:rFonts w:asciiTheme="minorHAnsi" w:hAnsiTheme="minorHAnsi" w:eastAsiaTheme="minorEastAsia" w:cstheme="minorBidi"/>
      <w:kern w:val="2"/>
      <w:sz w:val="18"/>
      <w:szCs w:val="18"/>
    </w:rPr>
  </w:style>
  <w:style w:type="character" w:customStyle="1" w:styleId="21">
    <w:name w:val="页脚 Char"/>
    <w:basedOn w:val="9"/>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271E4-5CBC-4637-861B-BBF76ABD7935}">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4</Pages>
  <Words>2604</Words>
  <Characters>2613</Characters>
  <Lines>19</Lines>
  <Paragraphs>5</Paragraphs>
  <TotalTime>50</TotalTime>
  <ScaleCrop>false</ScaleCrop>
  <LinksUpToDate>false</LinksUpToDate>
  <CharactersWithSpaces>2651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2021-10-19T04:45:00Z</dcterms:created>
  <dc:creator>user</dc:creator>
  <cp:lastModifiedBy>昼亮</cp:lastModifiedBy>
  <dcterms:modified xsi:type="dcterms:W3CDTF">2024-07-23T06:13:23Z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0A126EA33A9E4FE08A7ED5440BB634D4_13</vt:lpwstr>
  </property>
</Properties>
</file>